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FA8" w:rsidRPr="00F106C1" w:rsidRDefault="006F4FA8" w:rsidP="006F4FA8">
      <w:pPr>
        <w:pStyle w:val="a3"/>
        <w:tabs>
          <w:tab w:val="right" w:pos="10440"/>
          <w:tab w:val="right" w:pos="13323"/>
        </w:tabs>
        <w:rPr>
          <w:rFonts w:cs="Arial"/>
          <w:b w:val="0"/>
          <w:sz w:val="24"/>
          <w:szCs w:val="24"/>
        </w:rPr>
      </w:pPr>
      <w:r w:rsidRPr="00B514AD">
        <w:rPr>
          <w:rFonts w:cs="Arial"/>
          <w:b w:val="0"/>
          <w:sz w:val="24"/>
          <w:szCs w:val="24"/>
        </w:rPr>
        <w:t>3GPP TSG RAN WG1 Meeting #92</w:t>
      </w:r>
      <w:r w:rsidR="00024195">
        <w:rPr>
          <w:rFonts w:cs="Arial" w:hint="eastAsia"/>
          <w:b w:val="0"/>
          <w:sz w:val="24"/>
          <w:szCs w:val="24"/>
        </w:rPr>
        <w:t>bis</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sidR="009C7A2F">
        <w:rPr>
          <w:rFonts w:cs="Arial" w:hint="eastAsia"/>
          <w:b w:val="0"/>
          <w:sz w:val="24"/>
          <w:szCs w:val="24"/>
        </w:rPr>
        <w:t xml:space="preserve">        </w:t>
      </w:r>
      <w:r w:rsidR="009C7A2F" w:rsidRPr="009C7A2F">
        <w:rPr>
          <w:rFonts w:cs="Arial"/>
          <w:b w:val="0"/>
          <w:sz w:val="24"/>
          <w:szCs w:val="24"/>
        </w:rPr>
        <w:t>R1-1805060</w:t>
      </w:r>
    </w:p>
    <w:p w:rsidR="006F4FA8" w:rsidRPr="00B514AD" w:rsidRDefault="00024195" w:rsidP="006F4FA8">
      <w:r>
        <w:rPr>
          <w:rFonts w:ascii="Arial" w:hAnsi="Arial" w:hint="eastAsia"/>
          <w:noProof/>
          <w:sz w:val="24"/>
          <w:szCs w:val="24"/>
          <w:lang w:val="en-US" w:eastAsia="ja-JP"/>
        </w:rPr>
        <w:t>Sanya</w:t>
      </w:r>
      <w:r>
        <w:rPr>
          <w:rFonts w:ascii="Arial" w:hAnsi="Arial"/>
          <w:noProof/>
          <w:sz w:val="24"/>
          <w:szCs w:val="24"/>
          <w:lang w:val="en-US" w:eastAsia="ja-JP"/>
        </w:rPr>
        <w:t xml:space="preserve">, </w:t>
      </w:r>
      <w:r>
        <w:rPr>
          <w:rFonts w:ascii="Arial" w:hAnsi="Arial" w:hint="eastAsia"/>
          <w:noProof/>
          <w:sz w:val="24"/>
          <w:szCs w:val="24"/>
          <w:lang w:val="en-US" w:eastAsia="ja-JP"/>
        </w:rPr>
        <w:t>China</w:t>
      </w:r>
      <w:r>
        <w:rPr>
          <w:rFonts w:ascii="Arial" w:hAnsi="Arial"/>
          <w:noProof/>
          <w:sz w:val="24"/>
          <w:szCs w:val="24"/>
          <w:lang w:val="en-US" w:eastAsia="ja-JP"/>
        </w:rPr>
        <w:t xml:space="preserve">, </w:t>
      </w:r>
      <w:r>
        <w:rPr>
          <w:rFonts w:ascii="Arial" w:hAnsi="Arial" w:hint="eastAsia"/>
          <w:noProof/>
          <w:sz w:val="24"/>
          <w:szCs w:val="24"/>
          <w:lang w:val="en-US" w:eastAsia="ja-JP"/>
        </w:rPr>
        <w:t>April</w:t>
      </w:r>
      <w:r>
        <w:rPr>
          <w:rFonts w:ascii="Arial" w:hAnsi="Arial"/>
          <w:noProof/>
          <w:sz w:val="24"/>
          <w:szCs w:val="24"/>
          <w:lang w:val="en-US" w:eastAsia="ja-JP"/>
        </w:rPr>
        <w:t xml:space="preserve"> </w:t>
      </w:r>
      <w:r>
        <w:rPr>
          <w:rFonts w:ascii="Arial" w:hAnsi="Arial" w:hint="eastAsia"/>
          <w:noProof/>
          <w:sz w:val="24"/>
          <w:szCs w:val="24"/>
          <w:lang w:val="en-US" w:eastAsia="ja-JP"/>
        </w:rPr>
        <w:t>1</w:t>
      </w:r>
      <w:r w:rsidR="006F4FA8" w:rsidRPr="00B514AD">
        <w:rPr>
          <w:rFonts w:ascii="Arial" w:hAnsi="Arial"/>
          <w:noProof/>
          <w:sz w:val="24"/>
          <w:szCs w:val="24"/>
          <w:lang w:val="en-US" w:eastAsia="ja-JP"/>
        </w:rPr>
        <w:t>6</w:t>
      </w:r>
      <w:r w:rsidR="009C7A2F" w:rsidRPr="009C7A2F">
        <w:rPr>
          <w:rFonts w:ascii="Arial" w:hAnsi="Arial" w:hint="eastAsia"/>
          <w:noProof/>
          <w:sz w:val="24"/>
          <w:szCs w:val="24"/>
          <w:vertAlign w:val="superscript"/>
          <w:lang w:val="en-US" w:eastAsia="ja-JP"/>
        </w:rPr>
        <w:t>th</w:t>
      </w:r>
      <w:r w:rsidR="006F4FA8" w:rsidRPr="00B514AD">
        <w:rPr>
          <w:rFonts w:ascii="Arial" w:hAnsi="Arial"/>
          <w:noProof/>
          <w:sz w:val="24"/>
          <w:szCs w:val="24"/>
          <w:lang w:val="en-US" w:eastAsia="ja-JP"/>
        </w:rPr>
        <w:t xml:space="preserve"> – </w:t>
      </w:r>
      <w:r>
        <w:rPr>
          <w:rFonts w:ascii="Arial" w:hAnsi="Arial" w:hint="eastAsia"/>
          <w:noProof/>
          <w:sz w:val="24"/>
          <w:szCs w:val="24"/>
          <w:lang w:val="en-US" w:eastAsia="ja-JP"/>
        </w:rPr>
        <w:t>20</w:t>
      </w:r>
      <w:r w:rsidR="009C7A2F" w:rsidRPr="009C7A2F">
        <w:rPr>
          <w:rFonts w:ascii="Arial" w:hAnsi="Arial"/>
          <w:noProof/>
          <w:sz w:val="24"/>
          <w:szCs w:val="24"/>
          <w:vertAlign w:val="superscript"/>
          <w:lang w:val="en-US" w:eastAsia="ja-JP"/>
        </w:rPr>
        <w:t>th</w:t>
      </w:r>
      <w:r w:rsidR="006F4FA8" w:rsidRPr="00B514AD">
        <w:rPr>
          <w:rFonts w:ascii="Arial" w:hAnsi="Arial"/>
          <w:noProof/>
          <w:sz w:val="24"/>
          <w:szCs w:val="24"/>
          <w:lang w:val="en-US" w:eastAsia="ja-JP"/>
        </w:rPr>
        <w:t>, 2018</w:t>
      </w:r>
    </w:p>
    <w:p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9C7A2F">
        <w:rPr>
          <w:rFonts w:ascii="Arial" w:hAnsi="Arial" w:hint="eastAsia"/>
          <w:sz w:val="24"/>
          <w:lang w:val="en-US" w:eastAsia="ja-JP"/>
        </w:rPr>
        <w:t>7.</w:t>
      </w:r>
      <w:r w:rsidR="006F4FA8" w:rsidRPr="009C7A2F">
        <w:rPr>
          <w:rFonts w:ascii="Arial" w:hAnsi="Arial" w:hint="eastAsia"/>
          <w:sz w:val="24"/>
          <w:lang w:val="en-US" w:eastAsia="ja-JP"/>
        </w:rPr>
        <w:t>1.</w:t>
      </w:r>
      <w:r w:rsidR="00471DBC" w:rsidRPr="009C7A2F">
        <w:rPr>
          <w:rFonts w:ascii="Arial" w:hAnsi="Arial" w:hint="eastAsia"/>
          <w:sz w:val="24"/>
          <w:lang w:val="en-US" w:eastAsia="ja-JP"/>
        </w:rPr>
        <w:t>6</w:t>
      </w:r>
      <w:r w:rsidR="00BF63A6" w:rsidRPr="009C7A2F">
        <w:rPr>
          <w:rFonts w:ascii="Arial" w:hAnsi="Arial" w:hint="eastAsia"/>
          <w:sz w:val="24"/>
          <w:lang w:val="en-US" w:eastAsia="ja-JP"/>
        </w:rPr>
        <w:t>.</w:t>
      </w:r>
      <w:r w:rsidR="00C64A66" w:rsidRPr="009C7A2F">
        <w:rPr>
          <w:rFonts w:ascii="Arial" w:hAnsi="Arial" w:hint="eastAsia"/>
          <w:sz w:val="24"/>
          <w:lang w:val="en-US" w:eastAsia="ja-JP"/>
        </w:rPr>
        <w:t>1</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 xml:space="preserve">NTT DOCOMO, </w:t>
      </w:r>
      <w:bookmarkStart w:id="0" w:name="_GoBack"/>
      <w:bookmarkEnd w:id="0"/>
      <w:r>
        <w:rPr>
          <w:rFonts w:ascii="Arial" w:hAnsi="Arial"/>
          <w:sz w:val="24"/>
          <w:lang w:val="en-US" w:eastAsia="ja-JP"/>
        </w:rPr>
        <w:t>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46462A">
        <w:rPr>
          <w:rFonts w:ascii="Arial" w:hAnsi="Arial" w:hint="eastAsia"/>
          <w:sz w:val="24"/>
          <w:lang w:val="en-US" w:eastAsia="ja-JP"/>
        </w:rPr>
        <w:t xml:space="preserve">Remaining </w:t>
      </w:r>
      <w:r w:rsidR="00541AB1">
        <w:rPr>
          <w:rFonts w:ascii="Arial" w:hAnsi="Arial" w:hint="eastAsia"/>
          <w:sz w:val="24"/>
          <w:lang w:val="en-US" w:eastAsia="ja-JP"/>
        </w:rPr>
        <w:t>issue</w:t>
      </w:r>
      <w:r w:rsidR="00E4278C">
        <w:rPr>
          <w:rFonts w:ascii="Arial" w:hAnsi="Arial" w:hint="eastAsia"/>
          <w:sz w:val="24"/>
          <w:lang w:val="en-US" w:eastAsia="ja-JP"/>
        </w:rPr>
        <w:t>s</w:t>
      </w:r>
      <w:r w:rsidR="0046462A">
        <w:rPr>
          <w:rFonts w:ascii="Arial" w:hAnsi="Arial" w:hint="eastAsia"/>
          <w:sz w:val="24"/>
          <w:lang w:val="en-US" w:eastAsia="ja-JP"/>
        </w:rPr>
        <w:t xml:space="preserve"> on</w:t>
      </w:r>
      <w:r w:rsidR="00551560">
        <w:rPr>
          <w:rFonts w:ascii="Arial" w:hAnsi="Arial"/>
          <w:sz w:val="24"/>
          <w:lang w:val="en-US"/>
        </w:rPr>
        <w:t xml:space="preserve"> </w:t>
      </w:r>
      <w:r w:rsidR="00332552">
        <w:rPr>
          <w:rFonts w:ascii="Arial" w:hAnsi="Arial" w:hint="eastAsia"/>
          <w:sz w:val="24"/>
          <w:lang w:val="en-US" w:eastAsia="ja-JP"/>
        </w:rPr>
        <w:t>PHR</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995B29" w:rsidRDefault="00355E1C" w:rsidP="004A6C45">
      <w:pPr>
        <w:ind w:firstLineChars="50" w:firstLine="100"/>
        <w:jc w:val="both"/>
        <w:rPr>
          <w:lang w:val="en-US" w:eastAsia="ja-JP"/>
        </w:rPr>
      </w:pPr>
      <w:r>
        <w:rPr>
          <w:rFonts w:hint="eastAsia"/>
          <w:lang w:val="en-US" w:eastAsia="ja-JP"/>
        </w:rPr>
        <w:t>In RAN1-AH1801</w:t>
      </w:r>
      <w:r w:rsidR="001B19A1">
        <w:rPr>
          <w:rFonts w:hint="eastAsia"/>
          <w:lang w:val="en-US" w:eastAsia="ja-JP"/>
        </w:rPr>
        <w:t xml:space="preserve">, </w:t>
      </w:r>
      <w:r w:rsidR="00FB3610" w:rsidRPr="00294A34">
        <w:rPr>
          <w:rFonts w:hint="eastAsia"/>
          <w:lang w:val="en-US" w:eastAsia="ja-JP"/>
        </w:rPr>
        <w:t xml:space="preserve">RAN1 </w:t>
      </w:r>
      <w:r>
        <w:rPr>
          <w:rFonts w:hint="eastAsia"/>
          <w:lang w:val="en-US" w:eastAsia="ja-JP"/>
        </w:rPr>
        <w:t>agreed to support virtual PHR f</w:t>
      </w:r>
      <w:r w:rsidR="001B19A1">
        <w:rPr>
          <w:rFonts w:hint="eastAsia"/>
          <w:lang w:val="en-US" w:eastAsia="ja-JP"/>
        </w:rPr>
        <w:t>or PUSCH</w:t>
      </w:r>
      <w:r w:rsidR="00973040">
        <w:rPr>
          <w:rFonts w:hint="eastAsia"/>
          <w:lang w:val="en-US" w:eastAsia="ja-JP"/>
        </w:rPr>
        <w:t xml:space="preserve"> [1]</w:t>
      </w:r>
      <w:r w:rsidR="001B19A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95B29" w:rsidRPr="00573C9D" w:rsidDel="00BD408E" w:rsidTr="00E27448">
        <w:trPr>
          <w:jc w:val="center"/>
        </w:trPr>
        <w:tc>
          <w:tcPr>
            <w:tcW w:w="9847" w:type="dxa"/>
            <w:shd w:val="clear" w:color="auto" w:fill="auto"/>
          </w:tcPr>
          <w:p w:rsidR="00995B29" w:rsidRPr="007910C4" w:rsidRDefault="00995B29" w:rsidP="00E27448">
            <w:pPr>
              <w:spacing w:after="0"/>
              <w:rPr>
                <w:b/>
                <w:highlight w:val="green"/>
                <w:lang w:eastAsia="x-none"/>
              </w:rPr>
            </w:pPr>
            <w:r w:rsidRPr="007910C4">
              <w:rPr>
                <w:b/>
                <w:highlight w:val="green"/>
                <w:lang w:eastAsia="x-none"/>
              </w:rPr>
              <w:t>Agreement:</w:t>
            </w:r>
          </w:p>
          <w:p w:rsidR="00995B29" w:rsidRPr="008F1E71" w:rsidRDefault="00995B29" w:rsidP="00E27448">
            <w:pPr>
              <w:spacing w:after="0"/>
              <w:rPr>
                <w:lang w:val="en-US" w:eastAsia="x-none"/>
              </w:rPr>
            </w:pPr>
            <w:r w:rsidRPr="008F1E71">
              <w:rPr>
                <w:lang w:val="en-US" w:eastAsia="x-none"/>
              </w:rPr>
              <w:t>Virtual PHR for non-scheduled serving cell for CA/DC case is supported</w:t>
            </w:r>
          </w:p>
          <w:p w:rsidR="00995B29" w:rsidRDefault="00995B29" w:rsidP="00E27448">
            <w:pPr>
              <w:numPr>
                <w:ilvl w:val="1"/>
                <w:numId w:val="49"/>
              </w:numPr>
              <w:tabs>
                <w:tab w:val="clear" w:pos="1440"/>
                <w:tab w:val="num" w:pos="360"/>
              </w:tabs>
              <w:spacing w:after="0"/>
              <w:ind w:left="360"/>
              <w:rPr>
                <w:lang w:val="en-US" w:eastAsia="x-none"/>
              </w:rPr>
            </w:pPr>
            <w:r w:rsidRPr="008F1E71">
              <w:rPr>
                <w:lang w:val="en-US" w:eastAsia="x-none"/>
              </w:rPr>
              <w:t xml:space="preserve">For PHR reporting for multiple cells, if </w:t>
            </w:r>
            <w:r w:rsidRPr="008F1E71">
              <w:rPr>
                <w:lang w:val="x-none" w:eastAsia="x-none"/>
              </w:rPr>
              <w:t xml:space="preserve">the UE does not transmit </w:t>
            </w:r>
            <w:r w:rsidRPr="008F1E71">
              <w:rPr>
                <w:lang w:val="en-US" w:eastAsia="x-none"/>
              </w:rPr>
              <w:t>PUSCH</w:t>
            </w:r>
            <w:r w:rsidRPr="008F1E71">
              <w:rPr>
                <w:lang w:val="x-none" w:eastAsia="x-none"/>
              </w:rPr>
              <w:t xml:space="preserve"> in </w:t>
            </w:r>
            <w:r w:rsidRPr="008F1E71">
              <w:rPr>
                <w:lang w:val="en-US" w:eastAsia="x-none"/>
              </w:rPr>
              <w:t>PUSCH</w:t>
            </w:r>
            <w:r w:rsidRPr="008F1E71">
              <w:rPr>
                <w:lang w:val="x-none" w:eastAsia="x-none"/>
              </w:rPr>
              <w:t xml:space="preserve"> transmission period </w:t>
            </w:r>
            <w:r w:rsidRPr="008F1E71">
              <w:rPr>
                <w:i/>
                <w:iCs/>
                <w:lang w:val="en-US" w:eastAsia="x-none"/>
              </w:rPr>
              <w:t>i</w:t>
            </w:r>
            <w:r w:rsidRPr="008F1E71">
              <w:rPr>
                <w:lang w:val="x-none" w:eastAsia="x-none"/>
              </w:rPr>
              <w:t xml:space="preserve"> for carrier </w:t>
            </w:r>
            <w:r w:rsidRPr="008F1E71">
              <w:rPr>
                <w:i/>
                <w:iCs/>
                <w:lang w:val="en-US" w:eastAsia="x-none"/>
              </w:rPr>
              <w:t>f</w:t>
            </w:r>
            <w:r w:rsidRPr="008F1E71">
              <w:rPr>
                <w:lang w:val="en-US" w:eastAsia="x-none"/>
              </w:rPr>
              <w:t xml:space="preserve"> of </w:t>
            </w:r>
            <w:r w:rsidRPr="008F1E71">
              <w:rPr>
                <w:lang w:val="x-none" w:eastAsia="x-none"/>
              </w:rPr>
              <w:t xml:space="preserve">serving cell </w:t>
            </w:r>
            <w:r w:rsidRPr="008F1E71">
              <w:rPr>
                <w:i/>
                <w:iCs/>
                <w:lang w:val="en-US" w:eastAsia="x-none"/>
              </w:rPr>
              <w:t>c</w:t>
            </w:r>
            <w:r w:rsidRPr="008F1E71">
              <w:rPr>
                <w:lang w:val="x-none" w:eastAsia="x-none"/>
              </w:rPr>
              <w:t xml:space="preserve">, </w:t>
            </w:r>
            <w:r w:rsidRPr="008F1E71">
              <w:rPr>
                <w:lang w:val="en-US" w:eastAsia="x-none"/>
              </w:rPr>
              <w:t xml:space="preserve">the UE computes </w:t>
            </w:r>
            <w:r w:rsidRPr="008F1E71">
              <w:rPr>
                <w:lang w:val="x-none" w:eastAsia="x-none"/>
              </w:rPr>
              <w:t xml:space="preserve">power headroom for a Type </w:t>
            </w:r>
            <w:r w:rsidRPr="008F1E71">
              <w:rPr>
                <w:lang w:val="en-US" w:eastAsia="x-none"/>
              </w:rPr>
              <w:t>1</w:t>
            </w:r>
            <w:r w:rsidRPr="008F1E71">
              <w:rPr>
                <w:lang w:val="x-none" w:eastAsia="x-none"/>
              </w:rPr>
              <w:t xml:space="preserve"> report </w:t>
            </w:r>
            <w:r w:rsidRPr="008F1E71">
              <w:rPr>
                <w:lang w:val="en-US" w:eastAsia="x-none"/>
              </w:rPr>
              <w:t xml:space="preserve">as </w:t>
            </w:r>
          </w:p>
          <w:p w:rsidR="00995B29" w:rsidRPr="008F1E71" w:rsidRDefault="00AE1535" w:rsidP="00E27448">
            <w:pPr>
              <w:spacing w:after="0"/>
              <w:ind w:left="360"/>
              <w:rPr>
                <w:lang w:val="en-US" w:eastAsia="x-none"/>
              </w:rPr>
            </w:pPr>
            <w:r>
              <w:rPr>
                <w:lang w:val="en-US"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21pt">
                  <v:imagedata r:id="rId7" o:title=""/>
                </v:shape>
              </w:pict>
            </w:r>
          </w:p>
          <w:p w:rsidR="00995B29" w:rsidRPr="008F1E71" w:rsidRDefault="00995B29" w:rsidP="00E27448">
            <w:pPr>
              <w:numPr>
                <w:ilvl w:val="2"/>
                <w:numId w:val="49"/>
              </w:numPr>
              <w:tabs>
                <w:tab w:val="clear" w:pos="2160"/>
                <w:tab w:val="num" w:pos="1080"/>
              </w:tabs>
              <w:spacing w:after="0"/>
              <w:ind w:left="1080"/>
              <w:rPr>
                <w:lang w:val="en-US" w:eastAsia="x-none"/>
              </w:rPr>
            </w:pPr>
            <w:r w:rsidRPr="008F1E71">
              <w:rPr>
                <w:lang w:eastAsia="x-none"/>
              </w:rPr>
              <w:t xml:space="preserve">MPR=0dB, A-MPR=0dB, P-MPR=0dB for serving carrier </w:t>
            </w:r>
            <w:r w:rsidRPr="008F1E71">
              <w:rPr>
                <w:i/>
                <w:iCs/>
                <w:lang w:eastAsia="x-none"/>
              </w:rPr>
              <w:t>f</w:t>
            </w:r>
            <w:r w:rsidRPr="008F1E71">
              <w:rPr>
                <w:lang w:eastAsia="x-none"/>
              </w:rPr>
              <w:t xml:space="preserve"> of cell </w:t>
            </w:r>
            <w:r w:rsidRPr="008F1E71">
              <w:rPr>
                <w:i/>
                <w:iCs/>
                <w:lang w:eastAsia="x-none"/>
              </w:rPr>
              <w:t>c</w:t>
            </w:r>
          </w:p>
          <w:p w:rsidR="00995B29" w:rsidRPr="00995B29" w:rsidDel="00BD408E" w:rsidRDefault="00995B29" w:rsidP="00995B29">
            <w:pPr>
              <w:numPr>
                <w:ilvl w:val="2"/>
                <w:numId w:val="49"/>
              </w:numPr>
              <w:tabs>
                <w:tab w:val="clear" w:pos="2160"/>
                <w:tab w:val="num" w:pos="1080"/>
              </w:tabs>
              <w:spacing w:after="0"/>
              <w:ind w:left="1080"/>
              <w:rPr>
                <w:lang w:val="en-US" w:eastAsia="x-none"/>
              </w:rPr>
            </w:pPr>
            <w:r w:rsidRPr="008F1E71">
              <w:rPr>
                <w:lang w:eastAsia="x-none"/>
              </w:rPr>
              <w:t xml:space="preserve">FFS: how to determine </w:t>
            </w:r>
            <w:r w:rsidRPr="007A2423">
              <w:rPr>
                <w:i/>
                <w:lang w:eastAsia="x-none"/>
              </w:rPr>
              <w:t>j</w:t>
            </w:r>
            <w:r>
              <w:rPr>
                <w:lang w:eastAsia="x-none"/>
              </w:rPr>
              <w:t xml:space="preserve">, </w:t>
            </w:r>
            <w:r w:rsidRPr="008F1E71">
              <w:rPr>
                <w:i/>
                <w:iCs/>
                <w:lang w:eastAsia="x-none"/>
              </w:rPr>
              <w:t>q</w:t>
            </w:r>
            <w:r w:rsidRPr="008F1E71">
              <w:rPr>
                <w:lang w:eastAsia="x-none"/>
              </w:rPr>
              <w:t xml:space="preserve">_d and </w:t>
            </w:r>
            <w:r w:rsidRPr="008F1E71">
              <w:rPr>
                <w:i/>
                <w:iCs/>
                <w:lang w:eastAsia="x-none"/>
              </w:rPr>
              <w:t>l</w:t>
            </w:r>
          </w:p>
        </w:tc>
      </w:tr>
    </w:tbl>
    <w:p w:rsidR="00AD2983" w:rsidRPr="00AD2983" w:rsidRDefault="004A6C45" w:rsidP="00995B29">
      <w:pPr>
        <w:spacing w:before="240"/>
        <w:ind w:firstLineChars="50" w:firstLine="100"/>
        <w:jc w:val="both"/>
        <w:rPr>
          <w:lang w:val="en-US" w:eastAsia="ja-JP"/>
        </w:rPr>
      </w:pPr>
      <w:r>
        <w:rPr>
          <w:rFonts w:hint="eastAsia"/>
          <w:lang w:val="en-US" w:eastAsia="ja-JP"/>
        </w:rPr>
        <w:t>Then, in RAN1#92, RAN1 also agreed that the calculation was based on a default setting of {</w:t>
      </w:r>
      <w:r w:rsidRPr="001B19A1">
        <w:rPr>
          <w:rFonts w:hint="eastAsia"/>
          <w:i/>
          <w:lang w:val="en-US" w:eastAsia="ja-JP"/>
        </w:rPr>
        <w:t>j</w:t>
      </w:r>
      <w:r>
        <w:rPr>
          <w:rFonts w:hint="eastAsia"/>
          <w:lang w:val="en-US" w:eastAsia="ja-JP"/>
        </w:rPr>
        <w:t xml:space="preserve">, </w:t>
      </w:r>
      <w:r w:rsidRPr="001B19A1">
        <w:rPr>
          <w:rFonts w:hint="eastAsia"/>
          <w:i/>
          <w:lang w:val="en-US" w:eastAsia="ja-JP"/>
        </w:rPr>
        <w:t>q</w:t>
      </w:r>
      <w:r w:rsidRPr="001B19A1">
        <w:rPr>
          <w:rFonts w:hint="eastAsia"/>
          <w:vertAlign w:val="subscript"/>
          <w:lang w:val="en-US" w:eastAsia="ja-JP"/>
        </w:rPr>
        <w:t>d</w:t>
      </w:r>
      <w:r>
        <w:rPr>
          <w:rFonts w:hint="eastAsia"/>
          <w:lang w:val="en-US" w:eastAsia="ja-JP"/>
        </w:rPr>
        <w:t xml:space="preserve">, </w:t>
      </w:r>
      <w:r w:rsidRPr="001B19A1">
        <w:rPr>
          <w:rFonts w:hint="eastAsia"/>
          <w:i/>
          <w:lang w:val="en-US" w:eastAsia="ja-JP"/>
        </w:rPr>
        <w:t>l</w:t>
      </w:r>
      <w:r>
        <w:rPr>
          <w:rFonts w:hint="eastAsia"/>
          <w:lang w:val="en-US" w:eastAsia="ja-JP"/>
        </w:rPr>
        <w:t>}</w:t>
      </w:r>
      <w:r w:rsidR="00973040">
        <w:rPr>
          <w:rFonts w:hint="eastAsia"/>
          <w:lang w:val="en-US" w:eastAsia="ja-JP"/>
        </w:rPr>
        <w:t xml:space="preserve"> [2]</w:t>
      </w:r>
      <w:r w:rsidR="00995B29">
        <w:rPr>
          <w:rFonts w:hint="eastAsia"/>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AD2983" w:rsidRPr="00573C9D" w:rsidDel="00BD408E" w:rsidTr="00970663">
        <w:trPr>
          <w:jc w:val="center"/>
        </w:trPr>
        <w:tc>
          <w:tcPr>
            <w:tcW w:w="9847" w:type="dxa"/>
            <w:shd w:val="clear" w:color="auto" w:fill="auto"/>
          </w:tcPr>
          <w:p w:rsidR="00900ED8" w:rsidRPr="00317264" w:rsidRDefault="00900ED8" w:rsidP="001D3ACA">
            <w:pPr>
              <w:spacing w:after="0"/>
              <w:rPr>
                <w:b/>
                <w:lang w:eastAsia="x-none"/>
              </w:rPr>
            </w:pPr>
            <w:r w:rsidRPr="00317264">
              <w:rPr>
                <w:b/>
                <w:highlight w:val="green"/>
                <w:lang w:eastAsia="x-none"/>
              </w:rPr>
              <w:t>Agreement:</w:t>
            </w:r>
          </w:p>
          <w:p w:rsidR="00900ED8" w:rsidRPr="00EE066A" w:rsidRDefault="00900ED8" w:rsidP="00900ED8">
            <w:pPr>
              <w:pStyle w:val="aff5"/>
              <w:numPr>
                <w:ilvl w:val="0"/>
                <w:numId w:val="53"/>
              </w:numPr>
              <w:overflowPunct/>
              <w:autoSpaceDE/>
              <w:autoSpaceDN/>
              <w:adjustRightInd/>
              <w:spacing w:after="0"/>
              <w:ind w:left="284" w:hanging="284"/>
              <w:contextualSpacing w:val="0"/>
              <w:jc w:val="both"/>
              <w:textAlignment w:val="auto"/>
            </w:pPr>
            <w:r>
              <w:rPr>
                <w:rFonts w:hint="eastAsia"/>
              </w:rPr>
              <w:t>Regarding</w:t>
            </w:r>
            <w:r>
              <w:t xml:space="preserve"> this issue on </w:t>
            </w:r>
            <w:r>
              <w:rPr>
                <w:iCs/>
              </w:rPr>
              <w:t>{</w:t>
            </w:r>
            <w:r w:rsidRPr="00947BB6">
              <w:rPr>
                <w:i/>
                <w:iCs/>
              </w:rPr>
              <w:t>j, q_d, l</w:t>
            </w:r>
            <w:r>
              <w:rPr>
                <w:iCs/>
              </w:rPr>
              <w:t xml:space="preserve">} </w:t>
            </w:r>
            <w:r>
              <w:t>configuration for virtual PHR,</w:t>
            </w:r>
            <w:r w:rsidRPr="00EE066A">
              <w:rPr>
                <w:rFonts w:hint="eastAsia"/>
              </w:rPr>
              <w:t xml:space="preserve"> </w:t>
            </w:r>
            <w:r>
              <w:t>d</w:t>
            </w:r>
            <w:r w:rsidRPr="00EE066A">
              <w:rPr>
                <w:rFonts w:hint="eastAsia"/>
              </w:rPr>
              <w:t>etermination of the predetermined/default setting</w:t>
            </w:r>
            <w:r w:rsidRPr="00EE066A">
              <w:t xml:space="preserve"> </w:t>
            </w:r>
            <w:r>
              <w:t>is done as follows:</w:t>
            </w:r>
          </w:p>
          <w:p w:rsidR="00900ED8" w:rsidRPr="00EE066A" w:rsidRDefault="00900ED8" w:rsidP="00900ED8">
            <w:pPr>
              <w:pStyle w:val="aff5"/>
              <w:numPr>
                <w:ilvl w:val="1"/>
                <w:numId w:val="53"/>
              </w:numPr>
              <w:overflowPunct/>
              <w:autoSpaceDE/>
              <w:autoSpaceDN/>
              <w:adjustRightInd/>
              <w:spacing w:after="0"/>
              <w:ind w:left="567" w:hanging="283"/>
              <w:contextualSpacing w:val="0"/>
              <w:jc w:val="both"/>
              <w:textAlignment w:val="auto"/>
            </w:pPr>
            <w:r w:rsidRPr="00EE066A">
              <w:t xml:space="preserve">UE uses a </w:t>
            </w:r>
            <w:r>
              <w:t>default</w:t>
            </w:r>
            <w:r w:rsidRPr="00EE066A">
              <w:t xml:space="preserve"> {</w:t>
            </w:r>
            <w:r w:rsidRPr="00EE066A">
              <w:rPr>
                <w:i/>
              </w:rPr>
              <w:t>j, q_d, l</w:t>
            </w:r>
            <w:r w:rsidRPr="00EE066A">
              <w:t>} setting to compute the virtual PH of the serving cell/uplink for which there is no grant.</w:t>
            </w:r>
          </w:p>
          <w:p w:rsidR="00900ED8" w:rsidRPr="00900ED8" w:rsidDel="00BD408E" w:rsidRDefault="00900ED8" w:rsidP="00900ED8">
            <w:pPr>
              <w:pStyle w:val="aff5"/>
              <w:numPr>
                <w:ilvl w:val="2"/>
                <w:numId w:val="53"/>
              </w:numPr>
              <w:overflowPunct/>
              <w:autoSpaceDE/>
              <w:autoSpaceDN/>
              <w:adjustRightInd/>
              <w:spacing w:after="0"/>
              <w:contextualSpacing w:val="0"/>
              <w:jc w:val="both"/>
              <w:textAlignment w:val="auto"/>
            </w:pPr>
            <w:r w:rsidRPr="00871A5F">
              <w:t>FFS: The details on default {</w:t>
            </w:r>
            <w:r w:rsidRPr="00871A5F">
              <w:rPr>
                <w:i/>
              </w:rPr>
              <w:t>j, q_d, l</w:t>
            </w:r>
            <w:r w:rsidRPr="00871A5F">
              <w:t>} setting</w:t>
            </w:r>
          </w:p>
        </w:tc>
      </w:tr>
    </w:tbl>
    <w:p w:rsidR="00C419D0" w:rsidRPr="00AD2983" w:rsidRDefault="00995B29" w:rsidP="00AD2983">
      <w:pPr>
        <w:spacing w:before="240"/>
        <w:jc w:val="both"/>
        <w:rPr>
          <w:lang w:eastAsia="ja-JP"/>
        </w:rPr>
      </w:pPr>
      <w:r>
        <w:rPr>
          <w:rFonts w:hint="eastAsia"/>
          <w:lang w:val="en-US" w:eastAsia="ja-JP"/>
        </w:rPr>
        <w:t xml:space="preserve">However, what the default setting means has not been clarified. </w:t>
      </w:r>
      <w:r w:rsidR="001B19A1">
        <w:rPr>
          <w:rFonts w:hint="eastAsia"/>
          <w:lang w:eastAsia="ja-JP"/>
        </w:rPr>
        <w:t>In this contribution, we discuss how to determine the combination of parameters in order to finalize PHR issues.</w:t>
      </w:r>
    </w:p>
    <w:p w:rsidR="00AA5F4F" w:rsidRPr="00D26B48"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rsidR="00973040" w:rsidRDefault="001B19A1" w:rsidP="000C6449">
      <w:pPr>
        <w:ind w:firstLineChars="50" w:firstLine="100"/>
        <w:jc w:val="both"/>
        <w:rPr>
          <w:lang w:val="en-US" w:eastAsia="ja-JP"/>
        </w:rPr>
      </w:pPr>
      <w:r>
        <w:rPr>
          <w:rFonts w:hint="eastAsia"/>
          <w:lang w:val="en-US" w:eastAsia="ja-JP"/>
        </w:rPr>
        <w:t>In LTE-A, virtual PHR is used to acquire PH of CC(s) w</w:t>
      </w:r>
      <w:r w:rsidR="00C419D0">
        <w:rPr>
          <w:rFonts w:hint="eastAsia"/>
          <w:lang w:val="en-US" w:eastAsia="ja-JP"/>
        </w:rPr>
        <w:t>ithout</w:t>
      </w:r>
      <w:r>
        <w:rPr>
          <w:rFonts w:hint="eastAsia"/>
          <w:lang w:val="en-US" w:eastAsia="ja-JP"/>
        </w:rPr>
        <w:t xml:space="preserve"> transmission. Combination of {</w:t>
      </w:r>
      <w:r w:rsidRPr="001B19A1">
        <w:rPr>
          <w:rFonts w:hint="eastAsia"/>
          <w:i/>
          <w:lang w:val="en-US" w:eastAsia="ja-JP"/>
        </w:rPr>
        <w:t>P</w:t>
      </w:r>
      <w:r w:rsidRPr="001B19A1">
        <w:rPr>
          <w:rFonts w:hint="eastAsia"/>
          <w:vertAlign w:val="subscript"/>
          <w:lang w:val="en-US" w:eastAsia="ja-JP"/>
        </w:rPr>
        <w:t>0</w:t>
      </w:r>
      <w:r>
        <w:rPr>
          <w:rFonts w:hint="eastAsia"/>
          <w:vertAlign w:val="subscript"/>
          <w:lang w:val="en-US" w:eastAsia="ja-JP"/>
        </w:rPr>
        <w:t>_PUSCH,</w:t>
      </w:r>
      <w:r w:rsidRPr="001B19A1">
        <w:rPr>
          <w:rFonts w:hint="eastAsia"/>
          <w:i/>
          <w:vertAlign w:val="subscript"/>
          <w:lang w:val="en-US" w:eastAsia="ja-JP"/>
        </w:rPr>
        <w:t>c</w:t>
      </w:r>
      <w:r>
        <w:rPr>
          <w:rFonts w:hint="eastAsia"/>
          <w:lang w:val="en-US" w:eastAsia="ja-JP"/>
        </w:rPr>
        <w:t>(</w:t>
      </w:r>
      <w:r w:rsidRPr="001B19A1">
        <w:rPr>
          <w:rFonts w:hint="eastAsia"/>
          <w:i/>
          <w:lang w:val="en-US" w:eastAsia="ja-JP"/>
        </w:rPr>
        <w:t>j</w:t>
      </w:r>
      <w:r>
        <w:rPr>
          <w:rFonts w:hint="eastAsia"/>
          <w:lang w:val="en-US" w:eastAsia="ja-JP"/>
        </w:rPr>
        <w:t xml:space="preserve">), </w:t>
      </w:r>
      <w:r w:rsidRPr="00BE7C1C">
        <w:rPr>
          <w:i/>
          <w:lang w:val="en-US" w:eastAsia="ja-JP"/>
        </w:rPr>
        <w:t>α</w:t>
      </w:r>
      <w:r w:rsidRPr="001B19A1">
        <w:rPr>
          <w:rFonts w:hint="eastAsia"/>
          <w:i/>
          <w:vertAlign w:val="subscript"/>
          <w:lang w:val="en-US" w:eastAsia="ja-JP"/>
        </w:rPr>
        <w:t>c</w:t>
      </w:r>
      <w:r>
        <w:rPr>
          <w:rFonts w:hint="eastAsia"/>
          <w:lang w:val="en-US" w:eastAsia="ja-JP"/>
        </w:rPr>
        <w:t>(</w:t>
      </w:r>
      <w:r w:rsidRPr="001B19A1">
        <w:rPr>
          <w:rFonts w:hint="eastAsia"/>
          <w:i/>
          <w:lang w:val="en-US" w:eastAsia="ja-JP"/>
        </w:rPr>
        <w:t>j</w:t>
      </w:r>
      <w:r>
        <w:rPr>
          <w:rFonts w:hint="eastAsia"/>
          <w:lang w:val="en-US" w:eastAsia="ja-JP"/>
        </w:rPr>
        <w:t xml:space="preserve">)} is fixed, i.e., </w:t>
      </w:r>
      <w:r w:rsidRPr="001B19A1">
        <w:rPr>
          <w:rFonts w:hint="eastAsia"/>
          <w:i/>
          <w:lang w:val="en-US" w:eastAsia="ja-JP"/>
        </w:rPr>
        <w:t>j</w:t>
      </w:r>
      <w:r>
        <w:rPr>
          <w:rFonts w:hint="eastAsia"/>
          <w:i/>
          <w:lang w:val="en-US" w:eastAsia="ja-JP"/>
        </w:rPr>
        <w:t xml:space="preserve"> </w:t>
      </w:r>
      <w:r>
        <w:rPr>
          <w:rFonts w:hint="eastAsia"/>
          <w:lang w:val="en-US" w:eastAsia="ja-JP"/>
        </w:rPr>
        <w:t xml:space="preserve">= 1, and DL-RS for pathloss measurement and closed-loop are unique. On the other hand, in NR, there </w:t>
      </w:r>
      <w:r w:rsidR="00C419D0">
        <w:rPr>
          <w:rFonts w:hint="eastAsia"/>
          <w:lang w:val="en-US" w:eastAsia="ja-JP"/>
        </w:rPr>
        <w:t>can be</w:t>
      </w:r>
      <w:r>
        <w:rPr>
          <w:rFonts w:hint="eastAsia"/>
          <w:lang w:val="en-US" w:eastAsia="ja-JP"/>
        </w:rPr>
        <w:t xml:space="preserve"> multiple combinations of {</w:t>
      </w:r>
      <w:r w:rsidRPr="001B19A1">
        <w:rPr>
          <w:rFonts w:hint="eastAsia"/>
          <w:i/>
          <w:lang w:val="en-US" w:eastAsia="ja-JP"/>
        </w:rPr>
        <w:t>P</w:t>
      </w:r>
      <w:r w:rsidRPr="001B19A1">
        <w:rPr>
          <w:rFonts w:hint="eastAsia"/>
          <w:vertAlign w:val="subscript"/>
          <w:lang w:val="en-US" w:eastAsia="ja-JP"/>
        </w:rPr>
        <w:t>0</w:t>
      </w:r>
      <w:r>
        <w:rPr>
          <w:rFonts w:hint="eastAsia"/>
          <w:vertAlign w:val="subscript"/>
          <w:lang w:val="en-US" w:eastAsia="ja-JP"/>
        </w:rPr>
        <w:t>_PUSCH,</w:t>
      </w:r>
      <w:r w:rsidRPr="001B19A1">
        <w:rPr>
          <w:rFonts w:hint="eastAsia"/>
          <w:i/>
          <w:vertAlign w:val="subscript"/>
          <w:lang w:val="en-US" w:eastAsia="ja-JP"/>
        </w:rPr>
        <w:t>f</w:t>
      </w:r>
      <w:r>
        <w:rPr>
          <w:rFonts w:hint="eastAsia"/>
          <w:vertAlign w:val="subscript"/>
          <w:lang w:val="en-US" w:eastAsia="ja-JP"/>
        </w:rPr>
        <w:t>,</w:t>
      </w:r>
      <w:r w:rsidRPr="001B19A1">
        <w:rPr>
          <w:rFonts w:hint="eastAsia"/>
          <w:i/>
          <w:vertAlign w:val="subscript"/>
          <w:lang w:val="en-US" w:eastAsia="ja-JP"/>
        </w:rPr>
        <w:t>c</w:t>
      </w:r>
      <w:r>
        <w:rPr>
          <w:rFonts w:hint="eastAsia"/>
          <w:lang w:val="en-US" w:eastAsia="ja-JP"/>
        </w:rPr>
        <w:t>(</w:t>
      </w:r>
      <w:r w:rsidRPr="001B19A1">
        <w:rPr>
          <w:rFonts w:hint="eastAsia"/>
          <w:i/>
          <w:lang w:val="en-US" w:eastAsia="ja-JP"/>
        </w:rPr>
        <w:t>j</w:t>
      </w:r>
      <w:r>
        <w:rPr>
          <w:rFonts w:hint="eastAsia"/>
          <w:lang w:val="en-US" w:eastAsia="ja-JP"/>
        </w:rPr>
        <w:t xml:space="preserve">), </w:t>
      </w:r>
      <w:r w:rsidRPr="00BE7C1C">
        <w:rPr>
          <w:i/>
          <w:lang w:val="en-US" w:eastAsia="ja-JP"/>
        </w:rPr>
        <w:t>α</w:t>
      </w:r>
      <w:r w:rsidRPr="001B19A1">
        <w:rPr>
          <w:rFonts w:hint="eastAsia"/>
          <w:vertAlign w:val="subscript"/>
          <w:lang w:val="en-US" w:eastAsia="ja-JP"/>
        </w:rPr>
        <w:t>f,</w:t>
      </w:r>
      <w:r w:rsidRPr="001B19A1">
        <w:rPr>
          <w:rFonts w:hint="eastAsia"/>
          <w:i/>
          <w:vertAlign w:val="subscript"/>
          <w:lang w:val="en-US" w:eastAsia="ja-JP"/>
        </w:rPr>
        <w:t>c</w:t>
      </w:r>
      <w:r>
        <w:rPr>
          <w:rFonts w:hint="eastAsia"/>
          <w:lang w:val="en-US" w:eastAsia="ja-JP"/>
        </w:rPr>
        <w:t>(</w:t>
      </w:r>
      <w:r w:rsidRPr="001B19A1">
        <w:rPr>
          <w:rFonts w:hint="eastAsia"/>
          <w:i/>
          <w:lang w:val="en-US" w:eastAsia="ja-JP"/>
        </w:rPr>
        <w:t>j</w:t>
      </w:r>
      <w:r>
        <w:rPr>
          <w:rFonts w:hint="eastAsia"/>
          <w:lang w:val="en-US" w:eastAsia="ja-JP"/>
        </w:rPr>
        <w:t xml:space="preserve">)}, </w:t>
      </w:r>
      <w:r w:rsidRPr="001B19A1">
        <w:rPr>
          <w:rFonts w:hint="eastAsia"/>
          <w:i/>
          <w:lang w:val="en-US" w:eastAsia="ja-JP"/>
        </w:rPr>
        <w:t>PL</w:t>
      </w:r>
      <w:r w:rsidRPr="001B19A1">
        <w:rPr>
          <w:rFonts w:hint="eastAsia"/>
          <w:i/>
          <w:vertAlign w:val="subscript"/>
          <w:lang w:val="en-US" w:eastAsia="ja-JP"/>
        </w:rPr>
        <w:t>f,c</w:t>
      </w:r>
      <w:r>
        <w:rPr>
          <w:rFonts w:hint="eastAsia"/>
          <w:lang w:val="en-US" w:eastAsia="ja-JP"/>
        </w:rPr>
        <w:t>(</w:t>
      </w:r>
      <w:r>
        <w:rPr>
          <w:rFonts w:hint="eastAsia"/>
          <w:i/>
          <w:lang w:val="en-US" w:eastAsia="ja-JP"/>
        </w:rPr>
        <w:t>q</w:t>
      </w:r>
      <w:r w:rsidRPr="001B19A1">
        <w:rPr>
          <w:rFonts w:hint="eastAsia"/>
          <w:vertAlign w:val="subscript"/>
          <w:lang w:val="en-US" w:eastAsia="ja-JP"/>
        </w:rPr>
        <w:t>d</w:t>
      </w:r>
      <w:r>
        <w:rPr>
          <w:rFonts w:hint="eastAsia"/>
          <w:lang w:val="en-US" w:eastAsia="ja-JP"/>
        </w:rPr>
        <w:t>) and  f</w:t>
      </w:r>
      <w:r w:rsidRPr="001B19A1">
        <w:rPr>
          <w:rFonts w:hint="eastAsia"/>
          <w:i/>
          <w:vertAlign w:val="subscript"/>
          <w:lang w:val="en-US" w:eastAsia="ja-JP"/>
        </w:rPr>
        <w:t>f</w:t>
      </w:r>
      <w:r w:rsidRPr="001B19A1">
        <w:rPr>
          <w:rFonts w:hint="eastAsia"/>
          <w:vertAlign w:val="subscript"/>
          <w:lang w:val="en-US" w:eastAsia="ja-JP"/>
        </w:rPr>
        <w:t>,</w:t>
      </w:r>
      <w:r w:rsidRPr="001B19A1">
        <w:rPr>
          <w:rFonts w:hint="eastAsia"/>
          <w:i/>
          <w:vertAlign w:val="subscript"/>
          <w:lang w:val="en-US" w:eastAsia="ja-JP"/>
        </w:rPr>
        <w:t>c</w:t>
      </w:r>
      <w:r>
        <w:rPr>
          <w:rFonts w:hint="eastAsia"/>
          <w:lang w:val="en-US" w:eastAsia="ja-JP"/>
        </w:rPr>
        <w:t>(</w:t>
      </w:r>
      <w:r w:rsidRPr="001B19A1">
        <w:rPr>
          <w:rFonts w:hint="eastAsia"/>
          <w:i/>
          <w:lang w:val="en-US" w:eastAsia="ja-JP"/>
        </w:rPr>
        <w:t>i</w:t>
      </w:r>
      <w:r>
        <w:rPr>
          <w:rFonts w:hint="eastAsia"/>
          <w:lang w:val="en-US" w:eastAsia="ja-JP"/>
        </w:rPr>
        <w:t>,</w:t>
      </w:r>
      <w:r w:rsidRPr="001B19A1">
        <w:rPr>
          <w:rFonts w:hint="eastAsia"/>
          <w:i/>
          <w:lang w:val="en-US" w:eastAsia="ja-JP"/>
        </w:rPr>
        <w:t>l</w:t>
      </w:r>
      <w:r>
        <w:rPr>
          <w:rFonts w:hint="eastAsia"/>
          <w:lang w:val="en-US" w:eastAsia="ja-JP"/>
        </w:rPr>
        <w:t xml:space="preserve">) even if </w:t>
      </w:r>
      <w:r w:rsidRPr="001B19A1">
        <w:rPr>
          <w:rFonts w:hint="eastAsia"/>
          <w:i/>
          <w:lang w:val="en-US" w:eastAsia="ja-JP"/>
        </w:rPr>
        <w:t>j</w:t>
      </w:r>
      <w:r>
        <w:rPr>
          <w:rFonts w:hint="eastAsia"/>
          <w:lang w:val="en-US" w:eastAsia="ja-JP"/>
        </w:rPr>
        <w:t xml:space="preserve"> is fixed. These combinations can be used </w:t>
      </w:r>
      <w:r w:rsidR="000C6449">
        <w:rPr>
          <w:rFonts w:hint="eastAsia"/>
          <w:lang w:val="en-US" w:eastAsia="ja-JP"/>
        </w:rPr>
        <w:t xml:space="preserve">for </w:t>
      </w:r>
      <w:r>
        <w:rPr>
          <w:rFonts w:hint="eastAsia"/>
          <w:lang w:val="en-US" w:eastAsia="ja-JP"/>
        </w:rPr>
        <w:t>beam specific power control by switching them.</w:t>
      </w:r>
      <w:r w:rsidR="006C5424">
        <w:rPr>
          <w:rFonts w:hint="eastAsia"/>
          <w:lang w:val="en-US" w:eastAsia="ja-JP"/>
        </w:rPr>
        <w:t xml:space="preserve"> </w:t>
      </w:r>
      <w:r w:rsidR="000C6449">
        <w:rPr>
          <w:rFonts w:hint="eastAsia"/>
          <w:lang w:val="en-US" w:eastAsia="ja-JP"/>
        </w:rPr>
        <w:t xml:space="preserve">Before </w:t>
      </w:r>
      <w:r w:rsidR="004C02EB">
        <w:rPr>
          <w:rFonts w:hint="eastAsia"/>
          <w:lang w:val="en-US" w:eastAsia="ja-JP"/>
        </w:rPr>
        <w:t>determining</w:t>
      </w:r>
      <w:r w:rsidR="000C6449">
        <w:rPr>
          <w:rFonts w:hint="eastAsia"/>
          <w:lang w:val="en-US" w:eastAsia="ja-JP"/>
        </w:rPr>
        <w:t xml:space="preserve"> beam</w:t>
      </w:r>
      <w:r w:rsidR="004C02EB">
        <w:rPr>
          <w:rFonts w:hint="eastAsia"/>
          <w:lang w:val="en-US" w:eastAsia="ja-JP"/>
        </w:rPr>
        <w:t>(</w:t>
      </w:r>
      <w:r w:rsidR="000C6449">
        <w:rPr>
          <w:rFonts w:hint="eastAsia"/>
          <w:lang w:val="en-US" w:eastAsia="ja-JP"/>
        </w:rPr>
        <w:t>s</w:t>
      </w:r>
      <w:r w:rsidR="004C02EB">
        <w:rPr>
          <w:rFonts w:hint="eastAsia"/>
          <w:lang w:val="en-US" w:eastAsia="ja-JP"/>
        </w:rPr>
        <w:t>)</w:t>
      </w:r>
      <w:r w:rsidR="000C6449">
        <w:rPr>
          <w:rFonts w:hint="eastAsia"/>
          <w:lang w:val="en-US" w:eastAsia="ja-JP"/>
        </w:rPr>
        <w:t xml:space="preserve">, PH with candidate beam(s) is needed so that gNB can conduct </w:t>
      </w:r>
      <w:r w:rsidR="000C6449">
        <w:rPr>
          <w:lang w:val="en-US" w:eastAsia="ja-JP"/>
        </w:rPr>
        <w:t>appropriate</w:t>
      </w:r>
      <w:r w:rsidR="000C6449">
        <w:rPr>
          <w:rFonts w:hint="eastAsia"/>
          <w:lang w:val="en-US" w:eastAsia="ja-JP"/>
        </w:rPr>
        <w:t xml:space="preserve"> scheduling </w:t>
      </w:r>
      <w:r w:rsidR="004C02EB">
        <w:rPr>
          <w:rFonts w:hint="eastAsia"/>
          <w:lang w:val="en-US" w:eastAsia="ja-JP"/>
        </w:rPr>
        <w:t>for</w:t>
      </w:r>
      <w:r w:rsidR="000C6449">
        <w:rPr>
          <w:rFonts w:hint="eastAsia"/>
          <w:lang w:val="en-US" w:eastAsia="ja-JP"/>
        </w:rPr>
        <w:t xml:space="preserve"> the beam(s). </w:t>
      </w:r>
    </w:p>
    <w:p w:rsidR="00973040" w:rsidRPr="00973040" w:rsidRDefault="00973040" w:rsidP="0083262E">
      <w:pPr>
        <w:ind w:leftChars="50" w:left="1415" w:hangingChars="655" w:hanging="1315"/>
        <w:jc w:val="both"/>
        <w:rPr>
          <w:b/>
          <w:i/>
          <w:lang w:val="en-US" w:eastAsia="ja-JP"/>
        </w:rPr>
      </w:pPr>
      <w:r>
        <w:rPr>
          <w:rFonts w:hint="eastAsia"/>
          <w:b/>
          <w:i/>
          <w:lang w:val="en-US" w:eastAsia="ja-JP"/>
        </w:rPr>
        <w:t>Observation 1</w:t>
      </w:r>
      <w:r w:rsidRPr="00D26B48">
        <w:rPr>
          <w:rFonts w:hint="eastAsia"/>
          <w:b/>
          <w:i/>
          <w:lang w:val="en-US" w:eastAsia="ja-JP"/>
        </w:rPr>
        <w:t xml:space="preserve">: </w:t>
      </w:r>
      <w:r>
        <w:rPr>
          <w:rFonts w:hint="eastAsia"/>
          <w:b/>
          <w:i/>
          <w:lang w:val="en-US" w:eastAsia="ja-JP"/>
        </w:rPr>
        <w:t>I</w:t>
      </w:r>
      <w:r>
        <w:rPr>
          <w:b/>
          <w:i/>
          <w:lang w:val="en-US" w:eastAsia="ja-JP"/>
        </w:rPr>
        <w:t xml:space="preserve">n </w:t>
      </w:r>
      <w:r>
        <w:rPr>
          <w:rFonts w:hint="eastAsia"/>
          <w:b/>
          <w:i/>
          <w:lang w:val="en-US" w:eastAsia="ja-JP"/>
        </w:rPr>
        <w:t>NR</w:t>
      </w:r>
      <w:r w:rsidRPr="00F62BC8">
        <w:rPr>
          <w:b/>
          <w:i/>
          <w:lang w:val="en-US" w:eastAsia="ja-JP"/>
        </w:rPr>
        <w:t>,</w:t>
      </w:r>
      <w:r>
        <w:rPr>
          <w:rFonts w:hint="eastAsia"/>
          <w:b/>
          <w:i/>
          <w:lang w:val="en-US" w:eastAsia="ja-JP"/>
        </w:rPr>
        <w:t xml:space="preserve"> virtual PHR is beneficial for beam determination. For that</w:t>
      </w:r>
      <w:r w:rsidR="0083262E">
        <w:rPr>
          <w:rFonts w:hint="eastAsia"/>
          <w:b/>
          <w:i/>
          <w:lang w:val="en-US" w:eastAsia="ja-JP"/>
        </w:rPr>
        <w:t xml:space="preserve"> purpose, combination(s) of</w:t>
      </w:r>
      <w:r>
        <w:rPr>
          <w:rFonts w:hint="eastAsia"/>
          <w:b/>
          <w:i/>
          <w:lang w:val="en-US" w:eastAsia="ja-JP"/>
        </w:rPr>
        <w:t xml:space="preserve"> </w:t>
      </w:r>
      <w:r w:rsidR="0083262E">
        <w:rPr>
          <w:b/>
          <w:i/>
          <w:lang w:val="en-US" w:eastAsia="ja-JP"/>
        </w:rPr>
        <w:br/>
      </w:r>
      <w:r w:rsidRPr="000C6449">
        <w:rPr>
          <w:rFonts w:hint="eastAsia"/>
          <w:b/>
          <w:i/>
          <w:lang w:val="en-US" w:eastAsia="ja-JP"/>
        </w:rPr>
        <w:t>{j,</w:t>
      </w:r>
      <w:r>
        <w:rPr>
          <w:rFonts w:hint="eastAsia"/>
          <w:b/>
          <w:i/>
          <w:lang w:val="en-US" w:eastAsia="ja-JP"/>
        </w:rPr>
        <w:t xml:space="preserve"> </w:t>
      </w:r>
      <w:r w:rsidRPr="000C6449">
        <w:rPr>
          <w:rFonts w:hint="eastAsia"/>
          <w:b/>
          <w:i/>
          <w:lang w:val="en-US" w:eastAsia="ja-JP"/>
        </w:rPr>
        <w:t>q</w:t>
      </w:r>
      <w:r w:rsidRPr="000C6449">
        <w:rPr>
          <w:rFonts w:hint="eastAsia"/>
          <w:b/>
          <w:i/>
          <w:vertAlign w:val="subscript"/>
          <w:lang w:val="en-US" w:eastAsia="ja-JP"/>
        </w:rPr>
        <w:t>d</w:t>
      </w:r>
      <w:r>
        <w:rPr>
          <w:rFonts w:hint="eastAsia"/>
          <w:b/>
          <w:i/>
          <w:lang w:val="en-US" w:eastAsia="ja-JP"/>
        </w:rPr>
        <w:t xml:space="preserve">, </w:t>
      </w:r>
      <w:r w:rsidRPr="000C6449">
        <w:rPr>
          <w:rFonts w:hint="eastAsia"/>
          <w:b/>
          <w:i/>
          <w:lang w:val="en-US" w:eastAsia="ja-JP"/>
        </w:rPr>
        <w:t>l</w:t>
      </w:r>
      <w:r>
        <w:rPr>
          <w:rFonts w:hint="eastAsia"/>
          <w:b/>
          <w:i/>
          <w:lang w:val="en-US" w:eastAsia="ja-JP"/>
        </w:rPr>
        <w:t>} is/are determined based on candidate beam(s).</w:t>
      </w:r>
    </w:p>
    <w:p w:rsidR="00973040" w:rsidRDefault="00973040" w:rsidP="000C6449">
      <w:pPr>
        <w:ind w:firstLineChars="50" w:firstLine="100"/>
        <w:jc w:val="both"/>
        <w:rPr>
          <w:lang w:val="en-US" w:eastAsia="ja-JP"/>
        </w:rPr>
      </w:pPr>
      <w:r>
        <w:rPr>
          <w:rFonts w:hint="eastAsia"/>
          <w:lang w:val="en-US" w:eastAsia="ja-JP"/>
        </w:rPr>
        <w:t>For SRS, it was agreed that the default parameters are based on default SRS resource set ID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973040" w:rsidRPr="00573C9D" w:rsidDel="00BD408E" w:rsidTr="00E27448">
        <w:trPr>
          <w:jc w:val="center"/>
        </w:trPr>
        <w:tc>
          <w:tcPr>
            <w:tcW w:w="9847" w:type="dxa"/>
            <w:shd w:val="clear" w:color="auto" w:fill="auto"/>
          </w:tcPr>
          <w:p w:rsidR="00973040" w:rsidRPr="0098561F" w:rsidRDefault="00973040" w:rsidP="00973040">
            <w:pPr>
              <w:spacing w:after="0"/>
              <w:rPr>
                <w:b/>
                <w:lang w:eastAsia="x-none"/>
              </w:rPr>
            </w:pPr>
            <w:r w:rsidRPr="0098561F">
              <w:rPr>
                <w:b/>
                <w:highlight w:val="green"/>
                <w:lang w:eastAsia="x-none"/>
              </w:rPr>
              <w:t>Agreement:</w:t>
            </w:r>
          </w:p>
          <w:p w:rsidR="00973040" w:rsidRPr="0098561F" w:rsidRDefault="00973040" w:rsidP="00973040">
            <w:pPr>
              <w:spacing w:after="0"/>
            </w:pPr>
            <w:r w:rsidRPr="0098561F">
              <w:rPr>
                <w:lang w:eastAsia="x-none"/>
              </w:rPr>
              <w:t xml:space="preserve">A default </w:t>
            </w:r>
            <w:r w:rsidRPr="0098561F">
              <w:t>SRS resource set ID for virtual SRS Type 3 PH is used among the configured SRS resource set IDs</w:t>
            </w:r>
          </w:p>
          <w:p w:rsidR="00973040" w:rsidRPr="00973040" w:rsidDel="00BD408E" w:rsidRDefault="00973040" w:rsidP="00973040">
            <w:pPr>
              <w:numPr>
                <w:ilvl w:val="0"/>
                <w:numId w:val="53"/>
              </w:numPr>
              <w:tabs>
                <w:tab w:val="left" w:pos="644"/>
              </w:tabs>
              <w:spacing w:after="0"/>
              <w:rPr>
                <w:sz w:val="10"/>
                <w:lang w:eastAsia="x-none"/>
              </w:rPr>
            </w:pPr>
            <w:r w:rsidRPr="0098561F">
              <w:rPr>
                <w:lang w:eastAsia="x-none"/>
              </w:rPr>
              <w:t>Default SRS resource set ID = 0</w:t>
            </w:r>
          </w:p>
        </w:tc>
      </w:tr>
    </w:tbl>
    <w:p w:rsidR="00973040" w:rsidRPr="00973040" w:rsidRDefault="00973040" w:rsidP="00973040">
      <w:pPr>
        <w:spacing w:before="240"/>
        <w:jc w:val="both"/>
        <w:rPr>
          <w:lang w:eastAsia="ja-JP"/>
        </w:rPr>
      </w:pPr>
      <w:r>
        <w:rPr>
          <w:rFonts w:hint="eastAsia"/>
          <w:lang w:eastAsia="ja-JP"/>
        </w:rPr>
        <w:t xml:space="preserve">Same solution can be used for PUSCH, i.e., virtual PHR for PUSCH is based on SRS resource set ID = 0. Since a gNB can configure linkage between the SRS resource set ID and other parameters, </w:t>
      </w:r>
      <w:r w:rsidRPr="00973040">
        <w:rPr>
          <w:lang w:eastAsia="ja-JP"/>
        </w:rPr>
        <w:t>arbitrary</w:t>
      </w:r>
      <w:r>
        <w:rPr>
          <w:rFonts w:hint="eastAsia"/>
          <w:lang w:eastAsia="ja-JP"/>
        </w:rPr>
        <w:t xml:space="preserve"> parameters can be used for the PH calculation.</w:t>
      </w:r>
    </w:p>
    <w:p w:rsidR="000C6449" w:rsidRDefault="000C6449" w:rsidP="000C6449">
      <w:pPr>
        <w:ind w:leftChars="50" w:left="1132" w:hangingChars="514" w:hanging="1032"/>
        <w:jc w:val="both"/>
        <w:rPr>
          <w:b/>
          <w:i/>
          <w:lang w:val="en-US" w:eastAsia="ja-JP"/>
        </w:rPr>
      </w:pPr>
      <w:r w:rsidRPr="00D26B48">
        <w:rPr>
          <w:rFonts w:hint="eastAsia"/>
          <w:b/>
          <w:i/>
          <w:lang w:val="en-US" w:eastAsia="ja-JP"/>
        </w:rPr>
        <w:t>Proposal 1:</w:t>
      </w:r>
      <w:r w:rsidR="00973040">
        <w:rPr>
          <w:rFonts w:hint="eastAsia"/>
          <w:b/>
          <w:i/>
          <w:lang w:val="en-US" w:eastAsia="ja-JP"/>
        </w:rPr>
        <w:t xml:space="preserve"> Default parameters for vir</w:t>
      </w:r>
      <w:r w:rsidR="00995B29">
        <w:rPr>
          <w:rFonts w:hint="eastAsia"/>
          <w:b/>
          <w:i/>
          <w:lang w:val="en-US" w:eastAsia="ja-JP"/>
        </w:rPr>
        <w:t>tual PH calculation for PUSCH are</w:t>
      </w:r>
      <w:r w:rsidR="00973040">
        <w:rPr>
          <w:rFonts w:hint="eastAsia"/>
          <w:b/>
          <w:i/>
          <w:lang w:val="en-US" w:eastAsia="ja-JP"/>
        </w:rPr>
        <w:t xml:space="preserve"> </w:t>
      </w:r>
      <w:r w:rsidR="00995B29">
        <w:rPr>
          <w:rFonts w:hint="eastAsia"/>
          <w:b/>
          <w:i/>
          <w:lang w:val="en-US" w:eastAsia="ja-JP"/>
        </w:rPr>
        <w:t xml:space="preserve">linked with </w:t>
      </w:r>
      <w:r w:rsidR="00973040">
        <w:rPr>
          <w:b/>
          <w:i/>
          <w:lang w:val="en-US" w:eastAsia="ja-JP"/>
        </w:rPr>
        <w:t>default</w:t>
      </w:r>
      <w:r w:rsidR="00973040">
        <w:rPr>
          <w:rFonts w:hint="eastAsia"/>
          <w:b/>
          <w:i/>
          <w:lang w:val="en-US" w:eastAsia="ja-JP"/>
        </w:rPr>
        <w:t xml:space="preserve"> SRS resource set ID, i.e., ID = 0 as in virtual PH calculation for SRS.</w:t>
      </w:r>
    </w:p>
    <w:p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lastRenderedPageBreak/>
        <w:t>Conclusion</w:t>
      </w:r>
    </w:p>
    <w:p w:rsidR="00D224BF" w:rsidRDefault="00D224BF" w:rsidP="00D224BF">
      <w:pPr>
        <w:ind w:firstLineChars="51" w:firstLine="102"/>
        <w:jc w:val="both"/>
        <w:rPr>
          <w:lang w:val="en-US" w:eastAsia="ja-JP"/>
        </w:rPr>
      </w:pPr>
      <w:r w:rsidRPr="00D26B48">
        <w:rPr>
          <w:lang w:val="en-US" w:eastAsia="ja-JP"/>
        </w:rPr>
        <w:t>In this contribution</w:t>
      </w:r>
      <w:r>
        <w:rPr>
          <w:rFonts w:hint="eastAsia"/>
          <w:lang w:val="en-US" w:eastAsia="ja-JP"/>
        </w:rPr>
        <w:t>,</w:t>
      </w:r>
      <w:r w:rsidRPr="00D26B48">
        <w:rPr>
          <w:lang w:val="en-US" w:eastAsia="ja-JP"/>
        </w:rPr>
        <w:t xml:space="preserve"> we </w:t>
      </w:r>
      <w:r w:rsidRPr="00D26B48">
        <w:rPr>
          <w:rFonts w:hint="eastAsia"/>
          <w:lang w:val="en-US" w:eastAsia="ja-JP"/>
        </w:rPr>
        <w:t xml:space="preserve">had discussion on </w:t>
      </w:r>
      <w:r>
        <w:rPr>
          <w:rFonts w:hint="eastAsia"/>
          <w:lang w:val="en-US" w:eastAsia="ja-JP"/>
        </w:rPr>
        <w:t>remaining issues on PHR</w:t>
      </w:r>
      <w:r>
        <w:rPr>
          <w:lang w:val="en-US" w:eastAsia="ja-JP"/>
        </w:rPr>
        <w:t>.</w:t>
      </w:r>
      <w:r w:rsidR="00995B29">
        <w:rPr>
          <w:rFonts w:hint="eastAsia"/>
          <w:lang w:val="en-US" w:eastAsia="ja-JP"/>
        </w:rPr>
        <w:t xml:space="preserve"> Our observation and proposal</w:t>
      </w:r>
      <w:r>
        <w:rPr>
          <w:rFonts w:hint="eastAsia"/>
          <w:lang w:val="en-US" w:eastAsia="ja-JP"/>
        </w:rPr>
        <w:t xml:space="preserve"> are summarized as followed;</w:t>
      </w:r>
    </w:p>
    <w:p w:rsidR="0083262E" w:rsidRDefault="0083262E" w:rsidP="0083262E">
      <w:pPr>
        <w:ind w:leftChars="50" w:left="1415" w:hangingChars="655" w:hanging="1315"/>
        <w:jc w:val="both"/>
        <w:rPr>
          <w:b/>
          <w:i/>
          <w:lang w:val="en-US" w:eastAsia="ja-JP"/>
        </w:rPr>
      </w:pPr>
      <w:r>
        <w:rPr>
          <w:rFonts w:hint="eastAsia"/>
          <w:b/>
          <w:i/>
          <w:lang w:val="en-US" w:eastAsia="ja-JP"/>
        </w:rPr>
        <w:t>Observation 1</w:t>
      </w:r>
      <w:r w:rsidRPr="00D26B48">
        <w:rPr>
          <w:rFonts w:hint="eastAsia"/>
          <w:b/>
          <w:i/>
          <w:lang w:val="en-US" w:eastAsia="ja-JP"/>
        </w:rPr>
        <w:t xml:space="preserve">: </w:t>
      </w:r>
      <w:r>
        <w:rPr>
          <w:rFonts w:hint="eastAsia"/>
          <w:b/>
          <w:i/>
          <w:lang w:val="en-US" w:eastAsia="ja-JP"/>
        </w:rPr>
        <w:t>I</w:t>
      </w:r>
      <w:r>
        <w:rPr>
          <w:b/>
          <w:i/>
          <w:lang w:val="en-US" w:eastAsia="ja-JP"/>
        </w:rPr>
        <w:t xml:space="preserve">n </w:t>
      </w:r>
      <w:r>
        <w:rPr>
          <w:rFonts w:hint="eastAsia"/>
          <w:b/>
          <w:i/>
          <w:lang w:val="en-US" w:eastAsia="ja-JP"/>
        </w:rPr>
        <w:t>NR</w:t>
      </w:r>
      <w:r w:rsidRPr="00F62BC8">
        <w:rPr>
          <w:b/>
          <w:i/>
          <w:lang w:val="en-US" w:eastAsia="ja-JP"/>
        </w:rPr>
        <w:t>,</w:t>
      </w:r>
      <w:r>
        <w:rPr>
          <w:rFonts w:hint="eastAsia"/>
          <w:b/>
          <w:i/>
          <w:lang w:val="en-US" w:eastAsia="ja-JP"/>
        </w:rPr>
        <w:t xml:space="preserve"> virtual PHR is beneficial for beam determination. For that purpose, combination(s) of </w:t>
      </w:r>
      <w:r>
        <w:rPr>
          <w:b/>
          <w:i/>
          <w:lang w:val="en-US" w:eastAsia="ja-JP"/>
        </w:rPr>
        <w:br/>
      </w:r>
      <w:r w:rsidRPr="000C6449">
        <w:rPr>
          <w:rFonts w:hint="eastAsia"/>
          <w:b/>
          <w:i/>
          <w:lang w:val="en-US" w:eastAsia="ja-JP"/>
        </w:rPr>
        <w:t>{j,</w:t>
      </w:r>
      <w:r>
        <w:rPr>
          <w:rFonts w:hint="eastAsia"/>
          <w:b/>
          <w:i/>
          <w:lang w:val="en-US" w:eastAsia="ja-JP"/>
        </w:rPr>
        <w:t xml:space="preserve"> </w:t>
      </w:r>
      <w:r w:rsidRPr="000C6449">
        <w:rPr>
          <w:rFonts w:hint="eastAsia"/>
          <w:b/>
          <w:i/>
          <w:lang w:val="en-US" w:eastAsia="ja-JP"/>
        </w:rPr>
        <w:t>q</w:t>
      </w:r>
      <w:r w:rsidRPr="000C6449">
        <w:rPr>
          <w:rFonts w:hint="eastAsia"/>
          <w:b/>
          <w:i/>
          <w:vertAlign w:val="subscript"/>
          <w:lang w:val="en-US" w:eastAsia="ja-JP"/>
        </w:rPr>
        <w:t>d</w:t>
      </w:r>
      <w:r>
        <w:rPr>
          <w:rFonts w:hint="eastAsia"/>
          <w:b/>
          <w:i/>
          <w:lang w:val="en-US" w:eastAsia="ja-JP"/>
        </w:rPr>
        <w:t xml:space="preserve">, </w:t>
      </w:r>
      <w:r w:rsidRPr="000C6449">
        <w:rPr>
          <w:rFonts w:hint="eastAsia"/>
          <w:b/>
          <w:i/>
          <w:lang w:val="en-US" w:eastAsia="ja-JP"/>
        </w:rPr>
        <w:t>l</w:t>
      </w:r>
      <w:r>
        <w:rPr>
          <w:rFonts w:hint="eastAsia"/>
          <w:b/>
          <w:i/>
          <w:lang w:val="en-US" w:eastAsia="ja-JP"/>
        </w:rPr>
        <w:t>} is/are determined based on candidate beam(s).</w:t>
      </w:r>
    </w:p>
    <w:p w:rsidR="00995B29" w:rsidRDefault="00995B29" w:rsidP="00995B29">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Default parameters for virtual PH calculation for PUSCH are linked with </w:t>
      </w:r>
      <w:r>
        <w:rPr>
          <w:b/>
          <w:i/>
          <w:lang w:val="en-US" w:eastAsia="ja-JP"/>
        </w:rPr>
        <w:t>default</w:t>
      </w:r>
      <w:r>
        <w:rPr>
          <w:rFonts w:hint="eastAsia"/>
          <w:b/>
          <w:i/>
          <w:lang w:val="en-US" w:eastAsia="ja-JP"/>
        </w:rPr>
        <w:t xml:space="preserve"> SRS resource set ID, i.e., ID = 0 as in virtual PH calculation for SRS.</w:t>
      </w:r>
    </w:p>
    <w:p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rsidR="00E10961" w:rsidRDefault="00355E1C" w:rsidP="00355E1C">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RAN1-AH1801, January 2018</w:t>
      </w:r>
    </w:p>
    <w:p w:rsidR="004C02EB" w:rsidRPr="00995B29" w:rsidRDefault="00995B29" w:rsidP="00355E1C">
      <w:pPr>
        <w:rPr>
          <w:lang w:val="en-US" w:eastAsia="ja-JP"/>
        </w:rPr>
      </w:pPr>
      <w:r w:rsidRPr="00294A34">
        <w:rPr>
          <w:lang w:val="en-US" w:eastAsia="ja-JP"/>
        </w:rPr>
        <w:t>[</w:t>
      </w:r>
      <w:r w:rsidR="007C6A09">
        <w:rPr>
          <w:rFonts w:hint="eastAsia"/>
          <w:lang w:val="en-US" w:eastAsia="ja-JP"/>
        </w:rPr>
        <w:t>2</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sidR="00D76C87">
        <w:rPr>
          <w:rFonts w:hint="eastAsia"/>
          <w:lang w:val="en-US" w:eastAsia="ja-JP"/>
        </w:rPr>
        <w:t xml:space="preserve"> RAN1#92</w:t>
      </w:r>
      <w:r>
        <w:rPr>
          <w:rFonts w:hint="eastAsia"/>
          <w:lang w:val="en-US" w:eastAsia="ja-JP"/>
        </w:rPr>
        <w:t xml:space="preserve">, </w:t>
      </w:r>
      <w:r w:rsidR="00160C6B">
        <w:rPr>
          <w:rFonts w:hint="eastAsia"/>
          <w:lang w:val="en-US" w:eastAsia="ja-JP"/>
        </w:rPr>
        <w:t>March</w:t>
      </w:r>
      <w:r>
        <w:rPr>
          <w:rFonts w:hint="eastAsia"/>
          <w:lang w:val="en-US" w:eastAsia="ja-JP"/>
        </w:rPr>
        <w:t xml:space="preserve"> 2018</w:t>
      </w:r>
    </w:p>
    <w:sectPr w:rsidR="004C02EB" w:rsidRPr="00995B2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535" w:rsidRDefault="00AE1535">
      <w:r>
        <w:separator/>
      </w:r>
    </w:p>
  </w:endnote>
  <w:endnote w:type="continuationSeparator" w:id="0">
    <w:p w:rsidR="00AE1535" w:rsidRDefault="00AE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C7A2F">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535" w:rsidRDefault="00AE1535">
      <w:r>
        <w:separator/>
      </w:r>
    </w:p>
  </w:footnote>
  <w:footnote w:type="continuationSeparator" w:id="0">
    <w:p w:rsidR="00AE1535" w:rsidRDefault="00AE1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15:restartNumberingAfterBreak="0">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15:restartNumberingAfterBreak="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43128"/>
    <w:multiLevelType w:val="hybridMultilevel"/>
    <w:tmpl w:val="CFC44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CD4329"/>
    <w:multiLevelType w:val="hybridMultilevel"/>
    <w:tmpl w:val="87123066"/>
    <w:lvl w:ilvl="0" w:tplc="26B0B132">
      <w:start w:val="1"/>
      <w:numFmt w:val="bullet"/>
      <w:lvlText w:val="•"/>
      <w:lvlJc w:val="left"/>
      <w:pPr>
        <w:ind w:left="1554" w:hanging="420"/>
      </w:pPr>
      <w:rPr>
        <w:rFonts w:ascii="Arial" w:hAnsi="Arial"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9"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47"/>
  </w:num>
  <w:num w:numId="3">
    <w:abstractNumId w:val="51"/>
  </w:num>
  <w:num w:numId="4">
    <w:abstractNumId w:val="37"/>
  </w:num>
  <w:num w:numId="5">
    <w:abstractNumId w:val="21"/>
  </w:num>
  <w:num w:numId="6">
    <w:abstractNumId w:val="10"/>
  </w:num>
  <w:num w:numId="7">
    <w:abstractNumId w:val="46"/>
  </w:num>
  <w:num w:numId="8">
    <w:abstractNumId w:val="22"/>
  </w:num>
  <w:num w:numId="9">
    <w:abstractNumId w:val="35"/>
  </w:num>
  <w:num w:numId="10">
    <w:abstractNumId w:val="52"/>
  </w:num>
  <w:num w:numId="11">
    <w:abstractNumId w:val="31"/>
  </w:num>
  <w:num w:numId="12">
    <w:abstractNumId w:val="44"/>
  </w:num>
  <w:num w:numId="13">
    <w:abstractNumId w:val="15"/>
  </w:num>
  <w:num w:numId="14">
    <w:abstractNumId w:val="3"/>
  </w:num>
  <w:num w:numId="15">
    <w:abstractNumId w:val="24"/>
  </w:num>
  <w:num w:numId="16">
    <w:abstractNumId w:val="8"/>
  </w:num>
  <w:num w:numId="17">
    <w:abstractNumId w:val="18"/>
  </w:num>
  <w:num w:numId="18">
    <w:abstractNumId w:val="14"/>
  </w:num>
  <w:num w:numId="19">
    <w:abstractNumId w:val="25"/>
  </w:num>
  <w:num w:numId="20">
    <w:abstractNumId w:val="23"/>
  </w:num>
  <w:num w:numId="21">
    <w:abstractNumId w:val="30"/>
  </w:num>
  <w:num w:numId="22">
    <w:abstractNumId w:val="32"/>
  </w:num>
  <w:num w:numId="23">
    <w:abstractNumId w:val="12"/>
  </w:num>
  <w:num w:numId="24">
    <w:abstractNumId w:val="27"/>
  </w:num>
  <w:num w:numId="25">
    <w:abstractNumId w:val="49"/>
  </w:num>
  <w:num w:numId="26">
    <w:abstractNumId w:val="6"/>
  </w:num>
  <w:num w:numId="27">
    <w:abstractNumId w:val="19"/>
  </w:num>
  <w:num w:numId="28">
    <w:abstractNumId w:val="4"/>
  </w:num>
  <w:num w:numId="29">
    <w:abstractNumId w:val="41"/>
  </w:num>
  <w:num w:numId="30">
    <w:abstractNumId w:val="5"/>
  </w:num>
  <w:num w:numId="31">
    <w:abstractNumId w:val="7"/>
  </w:num>
  <w:num w:numId="32">
    <w:abstractNumId w:val="42"/>
  </w:num>
  <w:num w:numId="33">
    <w:abstractNumId w:val="36"/>
  </w:num>
  <w:num w:numId="34">
    <w:abstractNumId w:val="20"/>
  </w:num>
  <w:num w:numId="35">
    <w:abstractNumId w:val="13"/>
  </w:num>
  <w:num w:numId="36">
    <w:abstractNumId w:val="40"/>
  </w:num>
  <w:num w:numId="37">
    <w:abstractNumId w:val="9"/>
  </w:num>
  <w:num w:numId="38">
    <w:abstractNumId w:val="2"/>
  </w:num>
  <w:num w:numId="39">
    <w:abstractNumId w:val="33"/>
  </w:num>
  <w:num w:numId="40">
    <w:abstractNumId w:val="16"/>
  </w:num>
  <w:num w:numId="41">
    <w:abstractNumId w:val="11"/>
  </w:num>
  <w:num w:numId="42">
    <w:abstractNumId w:val="17"/>
  </w:num>
  <w:num w:numId="43">
    <w:abstractNumId w:val="29"/>
  </w:num>
  <w:num w:numId="44">
    <w:abstractNumId w:val="50"/>
  </w:num>
  <w:num w:numId="45">
    <w:abstractNumId w:val="0"/>
  </w:num>
  <w:num w:numId="46">
    <w:abstractNumId w:val="45"/>
  </w:num>
  <w:num w:numId="47">
    <w:abstractNumId w:val="1"/>
  </w:num>
  <w:num w:numId="48">
    <w:abstractNumId w:val="34"/>
  </w:num>
  <w:num w:numId="49">
    <w:abstractNumId w:val="39"/>
  </w:num>
  <w:num w:numId="50">
    <w:abstractNumId w:val="38"/>
  </w:num>
  <w:num w:numId="51">
    <w:abstractNumId w:val="48"/>
  </w:num>
  <w:num w:numId="52">
    <w:abstractNumId w:val="26"/>
  </w:num>
  <w:num w:numId="53">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26"/>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C9D"/>
    <w:rsid w:val="003B1819"/>
    <w:rsid w:val="003B22FB"/>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4B3"/>
    <w:rsid w:val="0059466A"/>
    <w:rsid w:val="00594752"/>
    <w:rsid w:val="00594C6A"/>
    <w:rsid w:val="0059533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3F73"/>
    <w:rsid w:val="005F40A9"/>
    <w:rsid w:val="005F4549"/>
    <w:rsid w:val="005F4B9B"/>
    <w:rsid w:val="005F4FE7"/>
    <w:rsid w:val="005F5101"/>
    <w:rsid w:val="005F528C"/>
    <w:rsid w:val="005F5B33"/>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C1C"/>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F34378"/>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列出段落,?? ??,?????,????"/>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列出段落 (文字),?? ?? (文字),????? (文字),????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164</TotalTime>
  <Pages>2</Pages>
  <Words>486</Words>
  <Characters>2773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Ryosuke Osawa</cp:lastModifiedBy>
  <cp:revision>19</cp:revision>
  <cp:lastPrinted>2017-04-28T00:53:00Z</cp:lastPrinted>
  <dcterms:created xsi:type="dcterms:W3CDTF">2018-02-16T07:39:00Z</dcterms:created>
  <dcterms:modified xsi:type="dcterms:W3CDTF">2018-04-06T05:52:00Z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